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3EBC" w:rsidRPr="00713EBC" w:rsidRDefault="00713EBC" w:rsidP="00713EBC">
      <w:pPr>
        <w:autoSpaceDE w:val="0"/>
        <w:autoSpaceDN w:val="0"/>
        <w:adjustRightInd w:val="0"/>
        <w:spacing w:after="0" w:line="240" w:lineRule="auto"/>
        <w:jc w:val="both"/>
        <w:rPr>
          <w:rFonts w:ascii="Arial" w:hAnsi="Arial" w:cs="Arial"/>
          <w:b/>
          <w:lang w:val="es-AR"/>
        </w:rPr>
      </w:pPr>
      <w:bookmarkStart w:id="0" w:name="_GoBack"/>
      <w:bookmarkEnd w:id="0"/>
      <w:r w:rsidRPr="00713EBC">
        <w:rPr>
          <w:rFonts w:ascii="Arial" w:hAnsi="Arial" w:cs="Arial"/>
          <w:b/>
          <w:lang w:val="es-AR"/>
        </w:rPr>
        <w:t>Concepto de pobreza e indigencia</w:t>
      </w:r>
    </w:p>
    <w:p w:rsidR="00713EBC" w:rsidRPr="00713EBC" w:rsidRDefault="00AB1E66" w:rsidP="00713EBC">
      <w:pPr>
        <w:autoSpaceDE w:val="0"/>
        <w:autoSpaceDN w:val="0"/>
        <w:adjustRightInd w:val="0"/>
        <w:spacing w:after="0" w:line="240" w:lineRule="auto"/>
        <w:jc w:val="both"/>
        <w:rPr>
          <w:rFonts w:ascii="Arial" w:hAnsi="Arial" w:cs="Arial"/>
          <w:b/>
          <w:lang w:val="es-AR"/>
        </w:rPr>
      </w:pPr>
      <w:r>
        <w:rPr>
          <w:rFonts w:ascii="Arial" w:hAnsi="Arial" w:cs="Arial"/>
          <w:b/>
          <w:lang w:val="es-AR"/>
        </w:rPr>
        <w:t xml:space="preserve">1. </w:t>
      </w:r>
      <w:r w:rsidR="00713EBC" w:rsidRPr="00713EBC">
        <w:rPr>
          <w:rFonts w:ascii="Arial" w:hAnsi="Arial" w:cs="Arial"/>
          <w:b/>
          <w:lang w:val="es-AR"/>
        </w:rPr>
        <w:t>Metodología general</w:t>
      </w:r>
    </w:p>
    <w:p w:rsidR="00713EBC" w:rsidRPr="00713EBC" w:rsidRDefault="00713EBC" w:rsidP="00713EBC">
      <w:pPr>
        <w:autoSpaceDE w:val="0"/>
        <w:autoSpaceDN w:val="0"/>
        <w:adjustRightInd w:val="0"/>
        <w:spacing w:after="0" w:line="276" w:lineRule="auto"/>
        <w:jc w:val="both"/>
        <w:rPr>
          <w:rFonts w:ascii="Arial" w:hAnsi="Arial" w:cs="Arial"/>
          <w:lang w:val="es-AR"/>
        </w:rPr>
      </w:pPr>
    </w:p>
    <w:p w:rsidR="00713EBC" w:rsidRDefault="00713EBC" w:rsidP="00713EBC">
      <w:pPr>
        <w:autoSpaceDE w:val="0"/>
        <w:autoSpaceDN w:val="0"/>
        <w:adjustRightInd w:val="0"/>
        <w:spacing w:line="276" w:lineRule="auto"/>
        <w:jc w:val="both"/>
        <w:rPr>
          <w:rFonts w:ascii="HelveticaNeueLTStd-Roman" w:hAnsi="HelveticaNeueLTStd-Roman" w:cs="HelveticaNeueLTStd-Roman"/>
          <w:lang w:val="es-AR"/>
        </w:rPr>
      </w:pPr>
      <w:r w:rsidRPr="00713EBC">
        <w:rPr>
          <w:rFonts w:ascii="HelveticaNeueLTStd-Roman" w:hAnsi="HelveticaNeueLTStd-Roman" w:cs="HelveticaNeueLTStd-Roman"/>
          <w:lang w:val="es-AR"/>
        </w:rPr>
        <w:t xml:space="preserve">Las nociones de pobreza e indigencia empleadas por el INDEC para el cálculo de </w:t>
      </w:r>
      <w:r w:rsidRPr="00713EBC">
        <w:rPr>
          <w:rFonts w:ascii="HelveticaNeueLTStd-It" w:hAnsi="HelveticaNeueLTStd-It" w:cs="HelveticaNeueLTStd-It"/>
          <w:i/>
          <w:iCs/>
          <w:lang w:val="es-AR"/>
        </w:rPr>
        <w:t xml:space="preserve">incidencia </w:t>
      </w:r>
      <w:r w:rsidRPr="00713EBC">
        <w:rPr>
          <w:rFonts w:ascii="HelveticaNeueLTStd-Roman" w:hAnsi="HelveticaNeueLTStd-Roman" w:cs="HelveticaNeueLTStd-Roman"/>
          <w:lang w:val="es-AR"/>
        </w:rPr>
        <w:t xml:space="preserve">se corresponden con el método de medición indirecta, denominado también “línea”. El concepto de “Línea de Indigencia” (LI) procura establecer si los hogares cuentan con ingresos suficientes para cubrir una canasta de alimentos capaz de satisfacer un umbral mínimo de necesidades energéticas y proteicas, denominada Canasta Básica Alimentaria (CBA). De esta manera, los hogares que no superan ese umbral o línea son considerados indigentes. Los componentes de la CBA se valorizan con los precios relevados por el Índice de Precios al Consumidor (IPC) para cada período de medición. </w:t>
      </w:r>
    </w:p>
    <w:p w:rsidR="00713EBC" w:rsidRDefault="00713EBC" w:rsidP="00713EBC">
      <w:pPr>
        <w:autoSpaceDE w:val="0"/>
        <w:autoSpaceDN w:val="0"/>
        <w:adjustRightInd w:val="0"/>
        <w:spacing w:line="276" w:lineRule="auto"/>
        <w:jc w:val="both"/>
        <w:rPr>
          <w:rFonts w:ascii="HelveticaNeueLTStd-Roman" w:hAnsi="HelveticaNeueLTStd-Roman" w:cs="HelveticaNeueLTStd-Roman"/>
          <w:lang w:val="es-AR"/>
        </w:rPr>
      </w:pPr>
      <w:r w:rsidRPr="00713EBC">
        <w:rPr>
          <w:rFonts w:ascii="HelveticaNeueLTStd-Roman" w:hAnsi="HelveticaNeueLTStd-Roman" w:cs="HelveticaNeueLTStd-Roman"/>
          <w:lang w:val="es-AR"/>
        </w:rPr>
        <w:t xml:space="preserve">Asimismo, la “Línea de Pobreza” (LP) extiende el umbral para incluir no sólo los consumos alimentarios mínimos sino también otros consumos básicos no alimentarios. La suma de ambos conforma la Canasta Básica Total (CBT), la cual es también contrastada con los ingresos de los hogares relevados por la Encuesta Permanente de Hogares (EPH). </w:t>
      </w:r>
    </w:p>
    <w:p w:rsidR="00713EBC" w:rsidRDefault="00713EBC" w:rsidP="00713EBC">
      <w:pPr>
        <w:autoSpaceDE w:val="0"/>
        <w:autoSpaceDN w:val="0"/>
        <w:adjustRightInd w:val="0"/>
        <w:spacing w:line="276" w:lineRule="auto"/>
        <w:jc w:val="both"/>
        <w:rPr>
          <w:rFonts w:ascii="HelveticaNeueLTStd-Roman" w:hAnsi="HelveticaNeueLTStd-Roman" w:cs="HelveticaNeueLTStd-Roman"/>
          <w:lang w:val="es-AR"/>
        </w:rPr>
      </w:pPr>
      <w:r w:rsidRPr="00713EBC">
        <w:rPr>
          <w:rFonts w:ascii="HelveticaNeueLTStd-Roman" w:hAnsi="HelveticaNeueLTStd-Roman" w:cs="HelveticaNeueLTStd-Roman"/>
          <w:lang w:val="es-AR"/>
        </w:rPr>
        <w:t xml:space="preserve">Para calcular la línea de pobreza, por lo tanto, es necesario contar con el valor de la CBA y ampliarlo con la inclusión de bienes y servicios no alimentarios (vestimenta, transporte, educación, salud, etcétera) con el fin de obtener el valor de la Canasta Básica Total (CBT). Mientras que la canasta alimentaria es una canasta normativa, la canasta básica total se construye en base a la evidencia empírica que refleja los hábitos de consumo alimentario y no alimentario de la población de referencia. </w:t>
      </w:r>
    </w:p>
    <w:p w:rsidR="00713EBC" w:rsidRDefault="00713EBC" w:rsidP="00713EBC">
      <w:pPr>
        <w:autoSpaceDE w:val="0"/>
        <w:autoSpaceDN w:val="0"/>
        <w:adjustRightInd w:val="0"/>
        <w:spacing w:line="276" w:lineRule="auto"/>
        <w:jc w:val="both"/>
        <w:rPr>
          <w:rFonts w:ascii="HelveticaNeueLTStd-Roman" w:hAnsi="HelveticaNeueLTStd-Roman" w:cs="HelveticaNeueLTStd-Roman"/>
          <w:lang w:val="es-AR"/>
        </w:rPr>
      </w:pPr>
      <w:r w:rsidRPr="00713EBC">
        <w:rPr>
          <w:rFonts w:ascii="HelveticaNeueLTStd-Roman" w:hAnsi="HelveticaNeueLTStd-Roman" w:cs="HelveticaNeueLTStd-Roman"/>
          <w:lang w:val="es-AR"/>
        </w:rPr>
        <w:t>Para ampliar o expandir el valor de la CBA se utiliza el “coeficiente de Engel” (</w:t>
      </w:r>
      <w:proofErr w:type="spellStart"/>
      <w:r w:rsidRPr="00713EBC">
        <w:rPr>
          <w:rFonts w:ascii="HelveticaNeueLTStd-Roman" w:hAnsi="HelveticaNeueLTStd-Roman" w:cs="HelveticaNeueLTStd-Roman"/>
          <w:lang w:val="es-AR"/>
        </w:rPr>
        <w:t>CdE</w:t>
      </w:r>
      <w:proofErr w:type="spellEnd"/>
      <w:r w:rsidRPr="00713EBC">
        <w:rPr>
          <w:rFonts w:ascii="HelveticaNeueLTStd-Roman" w:hAnsi="HelveticaNeueLTStd-Roman" w:cs="HelveticaNeueLTStd-Roman"/>
          <w:lang w:val="es-AR"/>
        </w:rPr>
        <w:t>), definido como la relación entre los gastos alimentarios y los gastos totales observados en la población de referencia.</w:t>
      </w:r>
    </w:p>
    <w:p w:rsidR="00713EBC" w:rsidRDefault="00713EBC" w:rsidP="00713EBC">
      <w:pPr>
        <w:autoSpaceDE w:val="0"/>
        <w:autoSpaceDN w:val="0"/>
        <w:adjustRightInd w:val="0"/>
        <w:spacing w:after="0" w:line="276" w:lineRule="auto"/>
        <w:jc w:val="both"/>
        <w:rPr>
          <w:rFonts w:ascii="HelveticaNeueLTStd-Roman" w:hAnsi="HelveticaNeueLTStd-Roman" w:cs="HelveticaNeueLTStd-Roman"/>
          <w:lang w:val="es-AR"/>
        </w:rPr>
      </w:pPr>
    </w:p>
    <w:p w:rsidR="00713EBC" w:rsidRPr="00713EBC" w:rsidRDefault="00713EBC" w:rsidP="00713EBC">
      <w:pPr>
        <w:autoSpaceDE w:val="0"/>
        <w:autoSpaceDN w:val="0"/>
        <w:adjustRightInd w:val="0"/>
        <w:spacing w:after="0" w:line="276" w:lineRule="auto"/>
        <w:jc w:val="both"/>
        <w:rPr>
          <w:rFonts w:ascii="HelveticaNeueLTStd-Roman" w:hAnsi="HelveticaNeueLTStd-Roman" w:cs="HelveticaNeueLTStd-Roman"/>
          <w:b/>
          <w:lang w:val="es-AR"/>
        </w:rPr>
      </w:pPr>
      <w:r w:rsidRPr="00713EBC">
        <w:rPr>
          <w:rFonts w:ascii="HelveticaNeueLTStd-Roman" w:hAnsi="HelveticaNeueLTStd-Roman" w:cs="HelveticaNeueLTStd-Roman"/>
          <w:b/>
          <w:noProof/>
          <w:lang w:val="es-AR"/>
        </w:rPr>
        <mc:AlternateContent>
          <mc:Choice Requires="wps">
            <w:drawing>
              <wp:anchor distT="0" distB="0" distL="114300" distR="114300" simplePos="0" relativeHeight="251659264" behindDoc="0" locked="0" layoutInCell="1" allowOverlap="1">
                <wp:simplePos x="0" y="0"/>
                <wp:positionH relativeFrom="column">
                  <wp:posOffset>1472673</wp:posOffset>
                </wp:positionH>
                <wp:positionV relativeFrom="paragraph">
                  <wp:posOffset>178327</wp:posOffset>
                </wp:positionV>
                <wp:extent cx="1345721" cy="8626"/>
                <wp:effectExtent l="0" t="0" r="26035" b="29845"/>
                <wp:wrapNone/>
                <wp:docPr id="1" name="Conector recto 1"/>
                <wp:cNvGraphicFramePr/>
                <a:graphic xmlns:a="http://schemas.openxmlformats.org/drawingml/2006/main">
                  <a:graphicData uri="http://schemas.microsoft.com/office/word/2010/wordprocessingShape">
                    <wps:wsp>
                      <wps:cNvCnPr/>
                      <wps:spPr>
                        <a:xfrm flipV="1">
                          <a:off x="0" y="0"/>
                          <a:ext cx="1345721" cy="8626"/>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F47485"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95pt,14.05pt" to="221.9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" strokecolor="black [3213]" strokeweight=".5pt">
                <v:stroke joinstyle="miter"/>
              </v:line>
            </w:pict>
          </mc:Fallback>
        </mc:AlternateContent>
      </w:r>
      <w:r w:rsidRPr="00713EBC">
        <w:rPr>
          <w:rFonts w:ascii="HelveticaNeueLTStd-Roman" w:hAnsi="HelveticaNeueLTStd-Roman" w:cs="HelveticaNeueLTStd-Roman"/>
          <w:b/>
          <w:lang w:val="es-AR"/>
        </w:rPr>
        <w:t>Coeficiente de Engel =      Gasto Alimentario</w:t>
      </w:r>
    </w:p>
    <w:p w:rsidR="00713EBC" w:rsidRPr="00713EBC" w:rsidRDefault="00713EBC" w:rsidP="00713EBC">
      <w:pPr>
        <w:autoSpaceDE w:val="0"/>
        <w:autoSpaceDN w:val="0"/>
        <w:adjustRightInd w:val="0"/>
        <w:spacing w:after="0" w:line="276" w:lineRule="auto"/>
        <w:jc w:val="both"/>
        <w:rPr>
          <w:rFonts w:ascii="HelveticaNeueLTStd-Roman" w:hAnsi="HelveticaNeueLTStd-Roman" w:cs="HelveticaNeueLTStd-Roman"/>
          <w:b/>
          <w:lang w:val="es-AR"/>
        </w:rPr>
      </w:pPr>
      <w:r w:rsidRPr="00713EBC">
        <w:rPr>
          <w:rFonts w:ascii="HelveticaNeueLTStd-Roman" w:hAnsi="HelveticaNeueLTStd-Roman" w:cs="HelveticaNeueLTStd-Roman"/>
          <w:b/>
          <w:lang w:val="es-AR"/>
        </w:rPr>
        <w:tab/>
      </w:r>
      <w:r w:rsidRPr="00713EBC">
        <w:rPr>
          <w:rFonts w:ascii="HelveticaNeueLTStd-Roman" w:hAnsi="HelveticaNeueLTStd-Roman" w:cs="HelveticaNeueLTStd-Roman"/>
          <w:b/>
          <w:lang w:val="es-AR"/>
        </w:rPr>
        <w:tab/>
      </w:r>
      <w:r w:rsidRPr="00713EBC">
        <w:rPr>
          <w:rFonts w:ascii="HelveticaNeueLTStd-Roman" w:hAnsi="HelveticaNeueLTStd-Roman" w:cs="HelveticaNeueLTStd-Roman"/>
          <w:b/>
          <w:lang w:val="es-AR"/>
        </w:rPr>
        <w:tab/>
      </w:r>
      <w:r w:rsidRPr="00713EBC">
        <w:rPr>
          <w:rFonts w:ascii="HelveticaNeueLTStd-Roman" w:hAnsi="HelveticaNeueLTStd-Roman" w:cs="HelveticaNeueLTStd-Roman"/>
          <w:b/>
          <w:lang w:val="es-AR"/>
        </w:rPr>
        <w:tab/>
      </w:r>
      <w:r>
        <w:rPr>
          <w:rFonts w:ascii="HelveticaNeueLTStd-Roman" w:hAnsi="HelveticaNeueLTStd-Roman" w:cs="HelveticaNeueLTStd-Roman"/>
          <w:b/>
          <w:lang w:val="es-AR"/>
        </w:rPr>
        <w:t xml:space="preserve"> </w:t>
      </w:r>
      <w:r w:rsidRPr="00713EBC">
        <w:rPr>
          <w:rFonts w:ascii="HelveticaNeueLTStd-Roman" w:hAnsi="HelveticaNeueLTStd-Roman" w:cs="HelveticaNeueLTStd-Roman"/>
          <w:b/>
          <w:lang w:val="es-AR"/>
        </w:rPr>
        <w:t>Gasto Total</w:t>
      </w:r>
    </w:p>
    <w:p w:rsidR="00713EBC" w:rsidRDefault="00713EBC" w:rsidP="00713EBC">
      <w:pPr>
        <w:autoSpaceDE w:val="0"/>
        <w:autoSpaceDN w:val="0"/>
        <w:adjustRightInd w:val="0"/>
        <w:spacing w:after="0" w:line="276" w:lineRule="auto"/>
        <w:jc w:val="both"/>
        <w:rPr>
          <w:rFonts w:ascii="HelveticaNeueLTStd-Roman" w:hAnsi="HelveticaNeueLTStd-Roman" w:cs="HelveticaNeueLTStd-Roman"/>
          <w:lang w:val="es-AR"/>
        </w:rPr>
      </w:pPr>
    </w:p>
    <w:p w:rsidR="00713EBC" w:rsidRDefault="00713EBC" w:rsidP="00713EBC">
      <w:pPr>
        <w:autoSpaceDE w:val="0"/>
        <w:autoSpaceDN w:val="0"/>
        <w:adjustRightInd w:val="0"/>
        <w:spacing w:after="0" w:line="276" w:lineRule="auto"/>
        <w:jc w:val="both"/>
        <w:rPr>
          <w:rFonts w:ascii="HelveticaNeueLTStd-Roman" w:hAnsi="HelveticaNeueLTStd-Roman" w:cs="HelveticaNeueLTStd-Roman"/>
          <w:lang w:val="es-AR"/>
        </w:rPr>
      </w:pPr>
      <w:r w:rsidRPr="00713EBC">
        <w:rPr>
          <w:rFonts w:ascii="HelveticaNeueLTStd-Roman" w:hAnsi="HelveticaNeueLTStd-Roman" w:cs="HelveticaNeueLTStd-Roman"/>
          <w:lang w:val="es-AR"/>
        </w:rPr>
        <w:t xml:space="preserve">Fijada una estructura de consumo mediante una encuesta de gastos, en cada período el </w:t>
      </w:r>
      <w:proofErr w:type="spellStart"/>
      <w:r w:rsidRPr="00713EBC">
        <w:rPr>
          <w:rFonts w:ascii="HelveticaNeueLTStd-Roman" w:hAnsi="HelveticaNeueLTStd-Roman" w:cs="HelveticaNeueLTStd-Roman"/>
          <w:lang w:val="es-AR"/>
        </w:rPr>
        <w:t>CdE</w:t>
      </w:r>
      <w:proofErr w:type="spellEnd"/>
      <w:r w:rsidRPr="00713EBC">
        <w:rPr>
          <w:rFonts w:ascii="HelveticaNeueLTStd-Roman" w:hAnsi="HelveticaNeueLTStd-Roman" w:cs="HelveticaNeueLTStd-Roman"/>
          <w:lang w:val="es-AR"/>
        </w:rPr>
        <w:t xml:space="preserve"> se actualiza por el cambio en el precio relativo de los alimentos respecto de los demás bienes y servicios. De esta forma se actualizan los montos de gasto alimentario y total del período base, considerando la misma relación de cantidades</w:t>
      </w:r>
      <w:r>
        <w:rPr>
          <w:rFonts w:ascii="HelveticaNeueLTStd-Roman" w:hAnsi="HelveticaNeueLTStd-Roman" w:cs="HelveticaNeueLTStd-Roman"/>
          <w:lang w:val="es-AR"/>
        </w:rPr>
        <w:t xml:space="preserve"> </w:t>
      </w:r>
      <w:r w:rsidRPr="00713EBC">
        <w:rPr>
          <w:rFonts w:ascii="HelveticaNeueLTStd-Roman" w:hAnsi="HelveticaNeueLTStd-Roman" w:cs="HelveticaNeueLTStd-Roman"/>
          <w:lang w:val="es-AR"/>
        </w:rPr>
        <w:t>de consumo. Para esto se toman los precios relevados por el Índice de Precios al Consumidor, tomando</w:t>
      </w:r>
      <w:r>
        <w:rPr>
          <w:rFonts w:ascii="HelveticaNeueLTStd-Roman" w:hAnsi="HelveticaNeueLTStd-Roman" w:cs="HelveticaNeueLTStd-Roman"/>
          <w:lang w:val="es-AR"/>
        </w:rPr>
        <w:t xml:space="preserve"> </w:t>
      </w:r>
      <w:r w:rsidRPr="00713EBC">
        <w:rPr>
          <w:rFonts w:ascii="HelveticaNeueLTStd-Roman" w:hAnsi="HelveticaNeueLTStd-Roman" w:cs="HelveticaNeueLTStd-Roman"/>
          <w:lang w:val="es-AR"/>
        </w:rPr>
        <w:t>en cuenta la estructura de gastos específica de la población de referencia. Para expandir el valor de la CBA,</w:t>
      </w:r>
      <w:r>
        <w:rPr>
          <w:rFonts w:ascii="HelveticaNeueLTStd-Roman" w:hAnsi="HelveticaNeueLTStd-Roman" w:cs="HelveticaNeueLTStd-Roman"/>
          <w:lang w:val="es-AR"/>
        </w:rPr>
        <w:t xml:space="preserve"> </w:t>
      </w:r>
      <w:r w:rsidRPr="00713EBC">
        <w:rPr>
          <w:rFonts w:ascii="HelveticaNeueLTStd-Roman" w:hAnsi="HelveticaNeueLTStd-Roman" w:cs="HelveticaNeueLTStd-Roman"/>
          <w:lang w:val="es-AR"/>
        </w:rPr>
        <w:t>se multiplica su valor por la inversa del coeficiente de Engel (ICE).</w:t>
      </w:r>
      <w:r>
        <w:rPr>
          <w:rFonts w:ascii="HelveticaNeueLTStd-Roman" w:hAnsi="HelveticaNeueLTStd-Roman" w:cs="HelveticaNeueLTStd-Roman"/>
          <w:lang w:val="es-AR"/>
        </w:rPr>
        <w:t xml:space="preserve"> </w:t>
      </w:r>
    </w:p>
    <w:p w:rsidR="00713EBC" w:rsidRDefault="00713EBC" w:rsidP="00713EBC">
      <w:pPr>
        <w:autoSpaceDE w:val="0"/>
        <w:autoSpaceDN w:val="0"/>
        <w:adjustRightInd w:val="0"/>
        <w:spacing w:after="0" w:line="276" w:lineRule="auto"/>
        <w:jc w:val="both"/>
        <w:rPr>
          <w:rFonts w:ascii="HelveticaNeueLTStd-Roman" w:hAnsi="HelveticaNeueLTStd-Roman" w:cs="HelveticaNeueLTStd-Roman"/>
          <w:lang w:val="es-AR"/>
        </w:rPr>
      </w:pPr>
    </w:p>
    <w:p w:rsidR="00713EBC" w:rsidRPr="00713EBC" w:rsidRDefault="00713EBC" w:rsidP="00713EBC">
      <w:pPr>
        <w:autoSpaceDE w:val="0"/>
        <w:autoSpaceDN w:val="0"/>
        <w:adjustRightInd w:val="0"/>
        <w:spacing w:after="0" w:line="276" w:lineRule="auto"/>
        <w:jc w:val="both"/>
        <w:rPr>
          <w:rFonts w:ascii="HelveticaNeueLTStd-Roman" w:hAnsi="HelveticaNeueLTStd-Roman" w:cs="HelveticaNeueLTStd-Roman"/>
          <w:b/>
          <w:lang w:val="es-AR"/>
        </w:rPr>
      </w:pPr>
      <w:r w:rsidRPr="00713EBC">
        <w:rPr>
          <w:rFonts w:ascii="HelveticaNeueLTStd-Roman" w:hAnsi="HelveticaNeueLTStd-Roman" w:cs="HelveticaNeueLTStd-Roman"/>
          <w:b/>
          <w:lang w:val="es-AR"/>
        </w:rPr>
        <w:t>CBT = CBA * ICE</w:t>
      </w:r>
    </w:p>
    <w:p w:rsidR="00713EBC" w:rsidRDefault="00713EBC" w:rsidP="00713EBC">
      <w:pPr>
        <w:autoSpaceDE w:val="0"/>
        <w:autoSpaceDN w:val="0"/>
        <w:adjustRightInd w:val="0"/>
        <w:spacing w:after="0" w:line="276" w:lineRule="auto"/>
        <w:jc w:val="both"/>
        <w:rPr>
          <w:rFonts w:ascii="HelveticaNeueLTStd-Roman" w:hAnsi="HelveticaNeueLTStd-Roman" w:cs="HelveticaNeueLTStd-Roman"/>
          <w:lang w:val="es-AR"/>
        </w:rPr>
      </w:pPr>
    </w:p>
    <w:p w:rsidR="00B73652" w:rsidRDefault="00713EBC" w:rsidP="00713EBC">
      <w:pPr>
        <w:autoSpaceDE w:val="0"/>
        <w:autoSpaceDN w:val="0"/>
        <w:adjustRightInd w:val="0"/>
        <w:spacing w:after="0" w:line="276" w:lineRule="auto"/>
        <w:jc w:val="both"/>
        <w:rPr>
          <w:rFonts w:ascii="HelveticaNeueLTStd-Roman" w:hAnsi="HelveticaNeueLTStd-Roman" w:cs="HelveticaNeueLTStd-Roman"/>
          <w:lang w:val="es-AR"/>
        </w:rPr>
      </w:pPr>
      <w:r w:rsidRPr="00713EBC">
        <w:rPr>
          <w:rFonts w:ascii="HelveticaNeueLTStd-Roman" w:hAnsi="HelveticaNeueLTStd-Roman" w:cs="HelveticaNeueLTStd-Roman"/>
          <w:lang w:val="es-AR"/>
        </w:rPr>
        <w:t>Dado que las necesidades nutricionales difieren entre la población, se construye una unidad de referencia,</w:t>
      </w:r>
      <w:r>
        <w:rPr>
          <w:rFonts w:ascii="HelveticaNeueLTStd-Roman" w:hAnsi="HelveticaNeueLTStd-Roman" w:cs="HelveticaNeueLTStd-Roman"/>
          <w:lang w:val="es-AR"/>
        </w:rPr>
        <w:t xml:space="preserve"> </w:t>
      </w:r>
      <w:r w:rsidRPr="00713EBC">
        <w:rPr>
          <w:rFonts w:ascii="HelveticaNeueLTStd-Roman" w:hAnsi="HelveticaNeueLTStd-Roman" w:cs="HelveticaNeueLTStd-Roman"/>
          <w:lang w:val="es-AR"/>
        </w:rPr>
        <w:t>el “adulto equivalente”, correspondiente a un hombre adulto de actividad moderada, para establecer luego</w:t>
      </w:r>
      <w:r>
        <w:rPr>
          <w:rFonts w:ascii="HelveticaNeueLTStd-Roman" w:hAnsi="HelveticaNeueLTStd-Roman" w:cs="HelveticaNeueLTStd-Roman"/>
          <w:lang w:val="es-AR"/>
        </w:rPr>
        <w:t xml:space="preserve"> </w:t>
      </w:r>
      <w:r w:rsidRPr="00713EBC">
        <w:rPr>
          <w:rFonts w:ascii="HelveticaNeueLTStd-Roman" w:hAnsi="HelveticaNeueLTStd-Roman" w:cs="HelveticaNeueLTStd-Roman"/>
          <w:lang w:val="es-AR"/>
        </w:rPr>
        <w:t>las relaciones en las necesidades energéticas según edad y sexo de las personas. A partir de estas equivalencias</w:t>
      </w:r>
      <w:r>
        <w:rPr>
          <w:rFonts w:ascii="HelveticaNeueLTStd-Roman" w:hAnsi="HelveticaNeueLTStd-Roman" w:cs="HelveticaNeueLTStd-Roman"/>
          <w:lang w:val="es-AR"/>
        </w:rPr>
        <w:t xml:space="preserve"> </w:t>
      </w:r>
      <w:r w:rsidRPr="00713EBC">
        <w:rPr>
          <w:rFonts w:ascii="HelveticaNeueLTStd-Roman" w:hAnsi="HelveticaNeueLTStd-Roman" w:cs="HelveticaNeueLTStd-Roman"/>
          <w:lang w:val="es-AR"/>
        </w:rPr>
        <w:t>se construyen las líneas para cada hogar según su tamaño y composición. En tanto que las líneas se</w:t>
      </w:r>
      <w:r>
        <w:rPr>
          <w:rFonts w:ascii="HelveticaNeueLTStd-Roman" w:hAnsi="HelveticaNeueLTStd-Roman" w:cs="HelveticaNeueLTStd-Roman"/>
          <w:lang w:val="es-AR"/>
        </w:rPr>
        <w:t xml:space="preserve"> </w:t>
      </w:r>
      <w:r w:rsidRPr="00713EBC">
        <w:rPr>
          <w:rFonts w:ascii="HelveticaNeueLTStd-Roman" w:hAnsi="HelveticaNeueLTStd-Roman" w:cs="HelveticaNeueLTStd-Roman"/>
          <w:lang w:val="es-AR"/>
        </w:rPr>
        <w:t>construyen por hogar, el valor de las canastas que estas suponen debe ser contrastado con el ingreso total</w:t>
      </w:r>
      <w:r>
        <w:rPr>
          <w:rFonts w:ascii="HelveticaNeueLTStd-Roman" w:hAnsi="HelveticaNeueLTStd-Roman" w:cs="HelveticaNeueLTStd-Roman"/>
          <w:lang w:val="es-AR"/>
        </w:rPr>
        <w:t xml:space="preserve"> </w:t>
      </w:r>
      <w:r w:rsidRPr="00713EBC">
        <w:rPr>
          <w:rFonts w:ascii="HelveticaNeueLTStd-Roman" w:hAnsi="HelveticaNeueLTStd-Roman" w:cs="HelveticaNeueLTStd-Roman"/>
          <w:lang w:val="es-AR"/>
        </w:rPr>
        <w:t>familiar del hogar, lo que permite clasificarlos en hogares indigentes, pobres no indigentes, pobres (incluye las</w:t>
      </w:r>
      <w:r>
        <w:rPr>
          <w:rFonts w:ascii="HelveticaNeueLTStd-Roman" w:hAnsi="HelveticaNeueLTStd-Roman" w:cs="HelveticaNeueLTStd-Roman"/>
          <w:lang w:val="es-AR"/>
        </w:rPr>
        <w:t xml:space="preserve"> </w:t>
      </w:r>
      <w:r w:rsidRPr="00713EBC">
        <w:rPr>
          <w:rFonts w:ascii="HelveticaNeueLTStd-Roman" w:hAnsi="HelveticaNeueLTStd-Roman" w:cs="HelveticaNeueLTStd-Roman"/>
          <w:lang w:val="es-AR"/>
        </w:rPr>
        <w:t>dos anteriores) y no pobres, extendiéndose esa caracterización a cada una de las personas que los integran.</w:t>
      </w:r>
    </w:p>
    <w:p w:rsidR="00AB1E66" w:rsidRDefault="00AB1E66" w:rsidP="00713EBC">
      <w:pPr>
        <w:autoSpaceDE w:val="0"/>
        <w:autoSpaceDN w:val="0"/>
        <w:adjustRightInd w:val="0"/>
        <w:spacing w:after="0" w:line="276" w:lineRule="auto"/>
        <w:jc w:val="both"/>
        <w:rPr>
          <w:rFonts w:ascii="HelveticaNeueLTStd-Roman" w:hAnsi="HelveticaNeueLTStd-Roman" w:cs="HelveticaNeueLTStd-Roman"/>
          <w:lang w:val="es-AR"/>
        </w:rPr>
      </w:pPr>
    </w:p>
    <w:p w:rsidR="00AB1E66" w:rsidRPr="00AB1E66" w:rsidRDefault="00AB1E66" w:rsidP="00AB1E66">
      <w:pPr>
        <w:autoSpaceDE w:val="0"/>
        <w:autoSpaceDN w:val="0"/>
        <w:adjustRightInd w:val="0"/>
        <w:spacing w:line="276" w:lineRule="auto"/>
        <w:jc w:val="both"/>
        <w:rPr>
          <w:rFonts w:ascii="Arial" w:hAnsi="Arial" w:cs="Arial"/>
          <w:b/>
          <w:lang w:val="es-AR"/>
        </w:rPr>
      </w:pPr>
      <w:r>
        <w:rPr>
          <w:rFonts w:ascii="Arial" w:hAnsi="Arial" w:cs="Arial"/>
          <w:b/>
          <w:lang w:val="es-AR"/>
        </w:rPr>
        <w:lastRenderedPageBreak/>
        <w:t xml:space="preserve">2. </w:t>
      </w:r>
      <w:r w:rsidRPr="00AB1E66">
        <w:rPr>
          <w:rFonts w:ascii="Arial" w:hAnsi="Arial" w:cs="Arial"/>
          <w:b/>
          <w:lang w:val="es-AR"/>
        </w:rPr>
        <w:t>Canasta Básica Alimentaria y su actualización</w:t>
      </w:r>
    </w:p>
    <w:p w:rsidR="00AB1E66" w:rsidRDefault="00AB1E66" w:rsidP="00AB1E66">
      <w:pPr>
        <w:autoSpaceDE w:val="0"/>
        <w:autoSpaceDN w:val="0"/>
        <w:adjustRightInd w:val="0"/>
        <w:spacing w:line="240" w:lineRule="auto"/>
        <w:jc w:val="both"/>
        <w:rPr>
          <w:rFonts w:ascii="Arial" w:hAnsi="Arial" w:cs="Arial"/>
          <w:lang w:val="es-AR"/>
        </w:rPr>
      </w:pPr>
      <w:r w:rsidRPr="00AB1E66">
        <w:rPr>
          <w:rFonts w:ascii="Arial" w:hAnsi="Arial" w:cs="Arial"/>
          <w:lang w:val="es-AR"/>
        </w:rPr>
        <w:t>La Canasta Básica Alimentaria (CBA) se define como el conjunto de alimentos que satisfacen ciertos requerimientos</w:t>
      </w:r>
      <w:r>
        <w:rPr>
          <w:rFonts w:ascii="Arial" w:hAnsi="Arial" w:cs="Arial"/>
          <w:lang w:val="es-AR"/>
        </w:rPr>
        <w:t xml:space="preserve"> </w:t>
      </w:r>
      <w:r w:rsidRPr="00AB1E66">
        <w:rPr>
          <w:rFonts w:ascii="Arial" w:hAnsi="Arial" w:cs="Arial"/>
          <w:lang w:val="es-AR"/>
        </w:rPr>
        <w:t>nutricionales, y cuya estructura refleja el patrón de consumo de alimentos de la población de referencia.</w:t>
      </w:r>
      <w:r>
        <w:rPr>
          <w:rFonts w:ascii="Arial" w:hAnsi="Arial" w:cs="Arial"/>
          <w:lang w:val="es-AR"/>
        </w:rPr>
        <w:t xml:space="preserve"> </w:t>
      </w:r>
      <w:r w:rsidRPr="00AB1E66">
        <w:rPr>
          <w:rFonts w:ascii="Arial" w:hAnsi="Arial" w:cs="Arial"/>
          <w:lang w:val="es-AR"/>
        </w:rPr>
        <w:t>La población de referencia se identifica como aquel grupo de hogares cuyos consumos en alimentos cubren las</w:t>
      </w:r>
      <w:r>
        <w:rPr>
          <w:rFonts w:ascii="Arial" w:hAnsi="Arial" w:cs="Arial"/>
          <w:lang w:val="es-AR"/>
        </w:rPr>
        <w:t xml:space="preserve"> </w:t>
      </w:r>
      <w:r w:rsidRPr="00AB1E66">
        <w:rPr>
          <w:rFonts w:ascii="Arial" w:hAnsi="Arial" w:cs="Arial"/>
          <w:lang w:val="es-AR"/>
        </w:rPr>
        <w:t>necesidades alimentarias del hogar. Para realizar este análisis es preciso contar con información detallada de</w:t>
      </w:r>
      <w:r>
        <w:rPr>
          <w:rFonts w:ascii="Arial" w:hAnsi="Arial" w:cs="Arial"/>
          <w:lang w:val="es-AR"/>
        </w:rPr>
        <w:t xml:space="preserve"> </w:t>
      </w:r>
      <w:r w:rsidRPr="00AB1E66">
        <w:rPr>
          <w:rFonts w:ascii="Arial" w:hAnsi="Arial" w:cs="Arial"/>
          <w:lang w:val="es-AR"/>
        </w:rPr>
        <w:t>consumo de los hogares que satisfacen esos requerimientos, proveniente de una encuesta de ingresos y gastos.</w:t>
      </w:r>
      <w:r>
        <w:rPr>
          <w:rFonts w:ascii="Arial" w:hAnsi="Arial" w:cs="Arial"/>
          <w:lang w:val="es-AR"/>
        </w:rPr>
        <w:t xml:space="preserve"> </w:t>
      </w:r>
      <w:r w:rsidRPr="00AB1E66">
        <w:rPr>
          <w:rFonts w:ascii="Arial" w:hAnsi="Arial" w:cs="Arial"/>
          <w:lang w:val="es-AR"/>
        </w:rPr>
        <w:t>Como se dijo anteriormente, el concepto de “línea de indigencia” (LI) procura establecer si los hogares cuentan</w:t>
      </w:r>
      <w:r>
        <w:rPr>
          <w:rFonts w:ascii="Arial" w:hAnsi="Arial" w:cs="Arial"/>
          <w:lang w:val="es-AR"/>
        </w:rPr>
        <w:t xml:space="preserve"> </w:t>
      </w:r>
      <w:r w:rsidRPr="00AB1E66">
        <w:rPr>
          <w:rFonts w:ascii="Arial" w:hAnsi="Arial" w:cs="Arial"/>
          <w:lang w:val="es-AR"/>
        </w:rPr>
        <w:t>con ingresos suficientes para cubrir una canasta de alimentos capaz de satisfacer un umbral mínimo de</w:t>
      </w:r>
      <w:r>
        <w:rPr>
          <w:rFonts w:ascii="Arial" w:hAnsi="Arial" w:cs="Arial"/>
          <w:lang w:val="es-AR"/>
        </w:rPr>
        <w:t xml:space="preserve"> </w:t>
      </w:r>
      <w:r w:rsidRPr="00AB1E66">
        <w:rPr>
          <w:rFonts w:ascii="Arial" w:hAnsi="Arial" w:cs="Arial"/>
          <w:lang w:val="es-AR"/>
        </w:rPr>
        <w:t>necesidades energéticas y proteica</w:t>
      </w:r>
      <w:r w:rsidR="00FF1352">
        <w:rPr>
          <w:rFonts w:ascii="Arial" w:hAnsi="Arial" w:cs="Arial"/>
          <w:lang w:val="es-AR"/>
        </w:rPr>
        <w:t>s</w:t>
      </w:r>
      <w:r w:rsidRPr="00AB1E66">
        <w:rPr>
          <w:rFonts w:ascii="Arial" w:hAnsi="Arial" w:cs="Arial"/>
          <w:lang w:val="es-AR"/>
        </w:rPr>
        <w:t>. De esta manera, los hogares que no superan ese umbral o línea son</w:t>
      </w:r>
      <w:r>
        <w:rPr>
          <w:rFonts w:ascii="Arial" w:hAnsi="Arial" w:cs="Arial"/>
          <w:lang w:val="es-AR"/>
        </w:rPr>
        <w:t xml:space="preserve"> </w:t>
      </w:r>
      <w:r w:rsidRPr="00AB1E66">
        <w:rPr>
          <w:rFonts w:ascii="Arial" w:hAnsi="Arial" w:cs="Arial"/>
          <w:lang w:val="es-AR"/>
        </w:rPr>
        <w:t>considerados indigentes.</w:t>
      </w:r>
    </w:p>
    <w:p w:rsidR="00AB1E66" w:rsidRPr="00AB1E66" w:rsidRDefault="00AB1E66" w:rsidP="00AB1E66">
      <w:pPr>
        <w:autoSpaceDE w:val="0"/>
        <w:autoSpaceDN w:val="0"/>
        <w:adjustRightInd w:val="0"/>
        <w:spacing w:line="240" w:lineRule="auto"/>
        <w:jc w:val="both"/>
        <w:rPr>
          <w:rFonts w:ascii="Arial" w:hAnsi="Arial" w:cs="Arial"/>
          <w:lang w:val="es-AR"/>
        </w:rPr>
      </w:pPr>
      <w:r w:rsidRPr="00AB1E66">
        <w:rPr>
          <w:rFonts w:ascii="Arial" w:hAnsi="Arial" w:cs="Arial"/>
          <w:lang w:val="es-AR"/>
        </w:rPr>
        <w:t>La elaboración de la CBA requiere:</w:t>
      </w:r>
    </w:p>
    <w:p w:rsidR="00AB1E66" w:rsidRPr="00AB1E66" w:rsidRDefault="00AB1E66" w:rsidP="00AB1E66">
      <w:pPr>
        <w:autoSpaceDE w:val="0"/>
        <w:autoSpaceDN w:val="0"/>
        <w:adjustRightInd w:val="0"/>
        <w:spacing w:line="240" w:lineRule="auto"/>
        <w:jc w:val="both"/>
        <w:rPr>
          <w:rFonts w:ascii="Arial" w:hAnsi="Arial" w:cs="Arial"/>
          <w:lang w:val="es-AR"/>
        </w:rPr>
      </w:pPr>
      <w:r w:rsidRPr="00AB1E66">
        <w:rPr>
          <w:rFonts w:ascii="Arial" w:hAnsi="Arial" w:cs="Arial"/>
          <w:lang w:val="es-AR"/>
        </w:rPr>
        <w:t>• determinar el requerimiento energético y las recomendaciones de nutrientes para las diferentes unidades</w:t>
      </w:r>
      <w:r>
        <w:rPr>
          <w:rFonts w:ascii="Arial" w:hAnsi="Arial" w:cs="Arial"/>
          <w:lang w:val="es-AR"/>
        </w:rPr>
        <w:t xml:space="preserve"> </w:t>
      </w:r>
      <w:r w:rsidRPr="00AB1E66">
        <w:rPr>
          <w:rFonts w:ascii="Arial" w:hAnsi="Arial" w:cs="Arial"/>
          <w:lang w:val="es-AR"/>
        </w:rPr>
        <w:t>de consumo o grupos etarios;</w:t>
      </w:r>
    </w:p>
    <w:p w:rsidR="00AB1E66" w:rsidRPr="00AB1E66" w:rsidRDefault="00AB1E66" w:rsidP="00AB1E66">
      <w:pPr>
        <w:autoSpaceDE w:val="0"/>
        <w:autoSpaceDN w:val="0"/>
        <w:adjustRightInd w:val="0"/>
        <w:spacing w:line="240" w:lineRule="auto"/>
        <w:jc w:val="both"/>
        <w:rPr>
          <w:rFonts w:ascii="Arial" w:hAnsi="Arial" w:cs="Arial"/>
          <w:lang w:val="es-AR"/>
        </w:rPr>
      </w:pPr>
      <w:r w:rsidRPr="00AB1E66">
        <w:rPr>
          <w:rFonts w:ascii="Arial" w:hAnsi="Arial" w:cs="Arial"/>
          <w:lang w:val="es-AR"/>
        </w:rPr>
        <w:t>• determinar la estructura de consumo de alimentos de la población de referencia para cubrir esas necesidades</w:t>
      </w:r>
      <w:r>
        <w:rPr>
          <w:rFonts w:ascii="Arial" w:hAnsi="Arial" w:cs="Arial"/>
          <w:lang w:val="es-AR"/>
        </w:rPr>
        <w:t xml:space="preserve"> </w:t>
      </w:r>
      <w:r w:rsidRPr="00AB1E66">
        <w:rPr>
          <w:rFonts w:ascii="Arial" w:hAnsi="Arial" w:cs="Arial"/>
          <w:lang w:val="es-AR"/>
        </w:rPr>
        <w:t>nutricionales;</w:t>
      </w:r>
    </w:p>
    <w:p w:rsidR="00AB1E66" w:rsidRPr="00AB1E66" w:rsidRDefault="00AB1E66" w:rsidP="00AB1E66">
      <w:pPr>
        <w:autoSpaceDE w:val="0"/>
        <w:autoSpaceDN w:val="0"/>
        <w:adjustRightInd w:val="0"/>
        <w:spacing w:line="240" w:lineRule="auto"/>
        <w:jc w:val="both"/>
        <w:rPr>
          <w:rFonts w:ascii="Arial" w:hAnsi="Arial" w:cs="Arial"/>
          <w:lang w:val="es-AR"/>
        </w:rPr>
      </w:pPr>
      <w:r w:rsidRPr="00AB1E66">
        <w:rPr>
          <w:rFonts w:ascii="Arial" w:hAnsi="Arial" w:cs="Arial"/>
          <w:lang w:val="es-AR"/>
        </w:rPr>
        <w:t>• seleccionar los productos que compondrán la CBA y sus cantidades;</w:t>
      </w:r>
    </w:p>
    <w:p w:rsidR="00AB1E66" w:rsidRPr="00AB1E66" w:rsidRDefault="00AB1E66" w:rsidP="00AB1E66">
      <w:pPr>
        <w:autoSpaceDE w:val="0"/>
        <w:autoSpaceDN w:val="0"/>
        <w:adjustRightInd w:val="0"/>
        <w:spacing w:line="240" w:lineRule="auto"/>
        <w:jc w:val="both"/>
        <w:rPr>
          <w:rFonts w:ascii="Arial" w:hAnsi="Arial" w:cs="Arial"/>
          <w:lang w:val="es-AR"/>
        </w:rPr>
      </w:pPr>
      <w:r w:rsidRPr="00AB1E66">
        <w:rPr>
          <w:rFonts w:ascii="Arial" w:hAnsi="Arial" w:cs="Arial"/>
          <w:lang w:val="es-AR"/>
        </w:rPr>
        <w:t>• realizar el análisis nutricional y los ajustes necesarios a fin de optimizar el criterio normativo de la CBA;</w:t>
      </w:r>
    </w:p>
    <w:p w:rsidR="00AB1E66" w:rsidRPr="00AB1E66" w:rsidRDefault="00AB1E66" w:rsidP="00AB1E66">
      <w:pPr>
        <w:autoSpaceDE w:val="0"/>
        <w:autoSpaceDN w:val="0"/>
        <w:adjustRightInd w:val="0"/>
        <w:spacing w:line="276" w:lineRule="auto"/>
        <w:jc w:val="both"/>
        <w:rPr>
          <w:rFonts w:ascii="Arial" w:hAnsi="Arial" w:cs="Arial"/>
          <w:lang w:val="es-AR"/>
        </w:rPr>
      </w:pPr>
      <w:r w:rsidRPr="00AB1E66">
        <w:rPr>
          <w:rFonts w:ascii="Arial" w:hAnsi="Arial" w:cs="Arial"/>
          <w:lang w:val="es-AR"/>
        </w:rPr>
        <w:t>• determinar el valor monetario de la CBA</w:t>
      </w:r>
    </w:p>
    <w:p w:rsidR="00AB1E66" w:rsidRPr="00AB1E66" w:rsidRDefault="00AB1E66" w:rsidP="00AB1E66">
      <w:pPr>
        <w:autoSpaceDE w:val="0"/>
        <w:autoSpaceDN w:val="0"/>
        <w:adjustRightInd w:val="0"/>
        <w:spacing w:line="240" w:lineRule="auto"/>
        <w:jc w:val="both"/>
        <w:rPr>
          <w:rFonts w:ascii="Arial" w:hAnsi="Arial" w:cs="Arial"/>
          <w:lang w:val="es-AR"/>
        </w:rPr>
      </w:pPr>
      <w:r w:rsidRPr="00AB1E66">
        <w:rPr>
          <w:rFonts w:ascii="Arial" w:hAnsi="Arial" w:cs="Arial"/>
          <w:lang w:val="es-AR"/>
        </w:rPr>
        <w:t>Las Encuestas de Gastos e Ingresos de los Hogares tienen como objetivo principal obtener información acerca</w:t>
      </w:r>
      <w:r>
        <w:rPr>
          <w:rFonts w:ascii="Arial" w:hAnsi="Arial" w:cs="Arial"/>
          <w:lang w:val="es-AR"/>
        </w:rPr>
        <w:t xml:space="preserve"> </w:t>
      </w:r>
      <w:r w:rsidRPr="00AB1E66">
        <w:rPr>
          <w:rFonts w:ascii="Arial" w:hAnsi="Arial" w:cs="Arial"/>
          <w:lang w:val="es-AR"/>
        </w:rPr>
        <w:t>de los gastos y los ingresos de los hogares y sus características sociodemográficas. Entre otros fines,</w:t>
      </w:r>
      <w:r>
        <w:rPr>
          <w:rFonts w:ascii="Arial" w:hAnsi="Arial" w:cs="Arial"/>
          <w:lang w:val="es-AR"/>
        </w:rPr>
        <w:t xml:space="preserve"> </w:t>
      </w:r>
      <w:r w:rsidRPr="00AB1E66">
        <w:rPr>
          <w:rFonts w:ascii="Arial" w:hAnsi="Arial" w:cs="Arial"/>
          <w:lang w:val="es-AR"/>
        </w:rPr>
        <w:t xml:space="preserve">proporcionan dicha información de modo que pueda ser utilizada </w:t>
      </w:r>
      <w:r w:rsidRPr="00AB1E66">
        <w:rPr>
          <w:rFonts w:ascii="Arial" w:hAnsi="Arial" w:cs="Arial"/>
          <w:i/>
          <w:lang w:val="es-AR"/>
        </w:rPr>
        <w:t>“[…] para el cálculo de las ponderaciones del Índice de Precios al Consumidor, para la actualización de las estructuras de las canastas de bienes y servicios -utilizadas en la estimación de las líneas de pobreza e indigencia-, para las estimaciones de las Cuentas Nacionales, así como para el diseño de políticas públicas”</w:t>
      </w:r>
      <w:r w:rsidRPr="00AB1E66">
        <w:rPr>
          <w:rFonts w:ascii="Arial" w:hAnsi="Arial" w:cs="Arial"/>
          <w:lang w:val="es-AR"/>
        </w:rPr>
        <w:t>.</w:t>
      </w:r>
    </w:p>
    <w:p w:rsidR="00AB1E66" w:rsidRPr="00AB1E66" w:rsidRDefault="00AB1E66" w:rsidP="00AB1E66">
      <w:pPr>
        <w:autoSpaceDE w:val="0"/>
        <w:autoSpaceDN w:val="0"/>
        <w:adjustRightInd w:val="0"/>
        <w:spacing w:line="240" w:lineRule="auto"/>
        <w:jc w:val="both"/>
        <w:rPr>
          <w:rFonts w:ascii="Arial" w:hAnsi="Arial" w:cs="Arial"/>
          <w:b/>
          <w:lang w:val="es-AR"/>
        </w:rPr>
      </w:pPr>
      <w:r w:rsidRPr="00AB1E66">
        <w:rPr>
          <w:rFonts w:ascii="Arial" w:hAnsi="Arial" w:cs="Arial"/>
          <w:b/>
          <w:lang w:val="es-AR"/>
        </w:rPr>
        <w:t>3. Líneas de indigencia regionales</w:t>
      </w:r>
    </w:p>
    <w:p w:rsidR="00AB1E66" w:rsidRPr="00AB1E66" w:rsidRDefault="00AB1E66" w:rsidP="00AB1E66">
      <w:pPr>
        <w:autoSpaceDE w:val="0"/>
        <w:autoSpaceDN w:val="0"/>
        <w:adjustRightInd w:val="0"/>
        <w:spacing w:line="240" w:lineRule="auto"/>
        <w:jc w:val="both"/>
        <w:rPr>
          <w:rFonts w:ascii="Arial" w:hAnsi="Arial" w:cs="Arial"/>
          <w:lang w:val="es-AR"/>
        </w:rPr>
      </w:pPr>
      <w:r w:rsidRPr="00AB1E66">
        <w:rPr>
          <w:rFonts w:ascii="Arial" w:hAnsi="Arial" w:cs="Arial"/>
          <w:lang w:val="es-AR"/>
        </w:rPr>
        <w:t>La actualización en la metodología incorpora un avance en lo que se refiere a la determinación de las líneas</w:t>
      </w:r>
      <w:r>
        <w:rPr>
          <w:rFonts w:ascii="Arial" w:hAnsi="Arial" w:cs="Arial"/>
          <w:lang w:val="es-AR"/>
        </w:rPr>
        <w:t xml:space="preserve"> </w:t>
      </w:r>
      <w:r w:rsidRPr="00AB1E66">
        <w:rPr>
          <w:rFonts w:ascii="Arial" w:hAnsi="Arial" w:cs="Arial"/>
          <w:lang w:val="es-AR"/>
        </w:rPr>
        <w:t>de indigencia para cada región. La metodología precedente se basaba en el presupuesto normativo del Gran</w:t>
      </w:r>
      <w:r>
        <w:rPr>
          <w:rFonts w:ascii="Arial" w:hAnsi="Arial" w:cs="Arial"/>
          <w:lang w:val="es-AR"/>
        </w:rPr>
        <w:t xml:space="preserve"> </w:t>
      </w:r>
      <w:r w:rsidRPr="00AB1E66">
        <w:rPr>
          <w:rFonts w:ascii="Arial" w:hAnsi="Arial" w:cs="Arial"/>
          <w:lang w:val="es-AR"/>
        </w:rPr>
        <w:t>Buenos Aires, ajustado por las diferencias de precios entre esta y las demás regiones. Para la valorización de</w:t>
      </w:r>
      <w:r>
        <w:rPr>
          <w:rFonts w:ascii="Arial" w:hAnsi="Arial" w:cs="Arial"/>
          <w:lang w:val="es-AR"/>
        </w:rPr>
        <w:t xml:space="preserve"> </w:t>
      </w:r>
      <w:r w:rsidRPr="00AB1E66">
        <w:rPr>
          <w:rFonts w:ascii="Arial" w:hAnsi="Arial" w:cs="Arial"/>
          <w:lang w:val="es-AR"/>
        </w:rPr>
        <w:t>los componentes de las CBA regionales se introduce el uso de los precios medios del aglomerado Gran Buenos</w:t>
      </w:r>
      <w:r>
        <w:rPr>
          <w:rFonts w:ascii="Arial" w:hAnsi="Arial" w:cs="Arial"/>
          <w:lang w:val="es-AR"/>
        </w:rPr>
        <w:t xml:space="preserve"> </w:t>
      </w:r>
      <w:r w:rsidRPr="00AB1E66">
        <w:rPr>
          <w:rFonts w:ascii="Arial" w:hAnsi="Arial" w:cs="Arial"/>
          <w:lang w:val="es-AR"/>
        </w:rPr>
        <w:t>Aires, ajustados para las regiones con los coeficientes de Paridad de Poder de Compra del Consumidor</w:t>
      </w:r>
      <w:r>
        <w:rPr>
          <w:rFonts w:ascii="Arial" w:hAnsi="Arial" w:cs="Arial"/>
          <w:lang w:val="es-AR"/>
        </w:rPr>
        <w:t xml:space="preserve"> </w:t>
      </w:r>
      <w:r w:rsidRPr="00AB1E66">
        <w:rPr>
          <w:rFonts w:ascii="Arial" w:hAnsi="Arial" w:cs="Arial"/>
          <w:lang w:val="es-AR"/>
        </w:rPr>
        <w:t>(PPCC).</w:t>
      </w:r>
    </w:p>
    <w:p w:rsidR="00AB1E66" w:rsidRDefault="00AB1E66" w:rsidP="00E13A22">
      <w:pPr>
        <w:autoSpaceDE w:val="0"/>
        <w:autoSpaceDN w:val="0"/>
        <w:adjustRightInd w:val="0"/>
        <w:spacing w:line="240" w:lineRule="auto"/>
        <w:jc w:val="both"/>
        <w:rPr>
          <w:rFonts w:ascii="Arial" w:hAnsi="Arial" w:cs="Arial"/>
          <w:lang w:val="es-AR"/>
        </w:rPr>
      </w:pPr>
      <w:r w:rsidRPr="00AB1E66">
        <w:rPr>
          <w:rFonts w:ascii="Arial" w:hAnsi="Arial" w:cs="Arial"/>
          <w:lang w:val="es-AR"/>
        </w:rPr>
        <w:t>El avance introducido en esta oportunidad es que, a diferencia del procedimiento anterior, la metodología actual</w:t>
      </w:r>
      <w:r>
        <w:rPr>
          <w:rFonts w:ascii="Arial" w:hAnsi="Arial" w:cs="Arial"/>
          <w:lang w:val="es-AR"/>
        </w:rPr>
        <w:t xml:space="preserve"> </w:t>
      </w:r>
      <w:r w:rsidRPr="00AB1E66">
        <w:rPr>
          <w:rFonts w:ascii="Arial" w:hAnsi="Arial" w:cs="Arial"/>
          <w:lang w:val="es-AR"/>
        </w:rPr>
        <w:t>considera los patrones de consumo de cada región (ver “Composición de las CBA de cada región” en Anexo). Las</w:t>
      </w:r>
      <w:r>
        <w:rPr>
          <w:rFonts w:ascii="Arial" w:hAnsi="Arial" w:cs="Arial"/>
          <w:lang w:val="es-AR"/>
        </w:rPr>
        <w:t xml:space="preserve"> </w:t>
      </w:r>
      <w:r w:rsidRPr="00AB1E66">
        <w:rPr>
          <w:rFonts w:ascii="Arial" w:hAnsi="Arial" w:cs="Arial"/>
          <w:lang w:val="es-AR"/>
        </w:rPr>
        <w:t>líneas de las regiones se diseñaron de forma tal que fueran comparables entre sí; ello significa, básicamente, que</w:t>
      </w:r>
      <w:r w:rsidR="00E13A22">
        <w:rPr>
          <w:rFonts w:ascii="Arial" w:hAnsi="Arial" w:cs="Arial"/>
          <w:lang w:val="es-AR"/>
        </w:rPr>
        <w:t xml:space="preserve"> </w:t>
      </w:r>
      <w:r w:rsidRPr="00AB1E66">
        <w:rPr>
          <w:rFonts w:ascii="Arial" w:hAnsi="Arial" w:cs="Arial"/>
          <w:lang w:val="es-AR"/>
        </w:rPr>
        <w:t>reflejan las pautas de consumo de hogares con niveles de ingresos equiparables en términos de poder adquisitivo.</w:t>
      </w:r>
    </w:p>
    <w:p w:rsidR="00713EBC" w:rsidRPr="00AB1E66" w:rsidRDefault="00713EBC" w:rsidP="00AB1E66">
      <w:pPr>
        <w:autoSpaceDE w:val="0"/>
        <w:autoSpaceDN w:val="0"/>
        <w:adjustRightInd w:val="0"/>
        <w:spacing w:after="0" w:line="276" w:lineRule="auto"/>
        <w:jc w:val="both"/>
        <w:rPr>
          <w:rFonts w:ascii="Arial" w:hAnsi="Arial" w:cs="Arial"/>
          <w:b/>
          <w:sz w:val="20"/>
          <w:szCs w:val="20"/>
        </w:rPr>
      </w:pPr>
    </w:p>
    <w:p w:rsidR="006F4180" w:rsidRPr="00AB1E66" w:rsidRDefault="006F4180" w:rsidP="00AB1E66">
      <w:pPr>
        <w:autoSpaceDE w:val="0"/>
        <w:autoSpaceDN w:val="0"/>
        <w:adjustRightInd w:val="0"/>
        <w:spacing w:line="276" w:lineRule="auto"/>
        <w:jc w:val="both"/>
        <w:rPr>
          <w:rFonts w:ascii="Arial" w:hAnsi="Arial" w:cs="Arial"/>
          <w:sz w:val="20"/>
          <w:szCs w:val="20"/>
          <w:lang w:val="es-AR"/>
        </w:rPr>
      </w:pPr>
      <w:r w:rsidRPr="00AB1E66">
        <w:rPr>
          <w:rFonts w:ascii="Arial" w:hAnsi="Arial" w:cs="Arial"/>
          <w:b/>
          <w:sz w:val="20"/>
          <w:szCs w:val="20"/>
          <w:lang w:val="es-AR"/>
        </w:rPr>
        <w:t>Fuente:</w:t>
      </w:r>
      <w:r w:rsidRPr="00AB1E66">
        <w:rPr>
          <w:rFonts w:ascii="Arial" w:hAnsi="Arial" w:cs="Arial"/>
          <w:sz w:val="20"/>
          <w:szCs w:val="20"/>
          <w:lang w:val="es-AR"/>
        </w:rPr>
        <w:t xml:space="preserve"> Instituto Nacional de Estadística y Censos (INDEC). “La medición de la pobreza y la indigencia en la Argentina”. Metodología INDEC N.º 22. Buenos Aires, noviembre de 2016.</w:t>
      </w:r>
    </w:p>
    <w:p w:rsidR="00713EBC" w:rsidRPr="00713EBC" w:rsidRDefault="00713EBC" w:rsidP="00AB1E66">
      <w:pPr>
        <w:autoSpaceDE w:val="0"/>
        <w:autoSpaceDN w:val="0"/>
        <w:adjustRightInd w:val="0"/>
        <w:spacing w:line="240" w:lineRule="auto"/>
        <w:jc w:val="both"/>
        <w:rPr>
          <w:rFonts w:ascii="Arial" w:hAnsi="Arial" w:cs="Arial"/>
        </w:rPr>
      </w:pPr>
    </w:p>
    <w:sectPr w:rsidR="00713EBC" w:rsidRPr="00713EBC" w:rsidSect="00AB1E6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Std-Roman">
    <w:altName w:val="Arial"/>
    <w:panose1 w:val="00000000000000000000"/>
    <w:charset w:val="00"/>
    <w:family w:val="swiss"/>
    <w:notTrueType/>
    <w:pitch w:val="default"/>
    <w:sig w:usb0="00000003" w:usb1="08070000" w:usb2="00000010" w:usb3="00000000" w:csb0="00020001" w:csb1="00000000"/>
  </w:font>
  <w:font w:name="HelveticaNeueLTStd-I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8DF"/>
    <w:rsid w:val="00026F17"/>
    <w:rsid w:val="00101FE7"/>
    <w:rsid w:val="001218DF"/>
    <w:rsid w:val="006F4180"/>
    <w:rsid w:val="00713EBC"/>
    <w:rsid w:val="00AB1E66"/>
    <w:rsid w:val="00B73652"/>
    <w:rsid w:val="00D82968"/>
    <w:rsid w:val="00E13A22"/>
    <w:rsid w:val="00FF1352"/>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E4AE25-8EE7-4643-897E-C6D5B3736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998</Words>
  <Characters>5492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IPEC</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ipec</dc:creator>
  <cp:keywords/>
  <dc:description/>
  <cp:lastModifiedBy>usuario</cp:lastModifiedBy>
  <cp:revision>2</cp:revision>
  <dcterms:created xsi:type="dcterms:W3CDTF">2026-09-09T18:32:00Z</dcterms:created>
  <dcterms:modified xsi:type="dcterms:W3CDTF">2026-09-09T18:32:00Z</dcterms:modified>
</cp:coreProperties>
</file>